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1123956074990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10803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POREČ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1.838.133,34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1.862.395,96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101,3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1.922.610,76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1.826.079,64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36.316,32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64.735,59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8.160,19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64.735,59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8.160,19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28.156,13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Zakonom o proračunu (NN br. 144/21), Pravilnikom o proračunskom računovodstvu i Računskom planu ( NN br. 124/2014, 115/15,87/16,3/18,126/19,108/20, 158/23, 156/25) , te Pravilnikom o financijskom izvještavanju u proračunskom računovodstvu( NN br.37/22) daju se bilješke;</w:t>
      </w:r>
    </w:p>
    <w:p>
      <w:r>
        <w:t xml:space="preserve">Višak prihoda poslovanja odnosi se na sufinaciranje roditelja za pokriće troškova prehrane za račune koji dospijevaju u srpnju kao i iza plaće djelatnika u produženom boravku,  a manjak se odnosi na nefiinancijsku imovinu.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1.207.737,28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1.358.829,94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112,5</w:t>
            </w:r>
          </w:p>
        </w:tc>
      </w:tr>
    </w:tbl>
    <w:p>
      <w:pPr>
        <w:spacing w:before="0" w:after="0"/>
      </w:pPr>
    </w:p>
    <w:p>
      <w:r>
        <w:t xml:space="preserve">Do odstupanja dolazi radi toga što se prehrana 30.06.2026. knjiži na tekuće pomoći od državnog proračuna, a isto razdoblje lani knjižilo se na 671.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Tekući prijenosi između proračunskih korisnika istog proračuna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55.729,78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Iznos od 55.729,78 eura odnosi na na Projekt Pun-a torba zajedništva, za pomoćnike u nastavi.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495.849,27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356.130,65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71,8</w:t>
            </w:r>
          </w:p>
        </w:tc>
      </w:tr>
    </w:tbl>
    <w:p>
      <w:pPr>
        <w:spacing w:before="0" w:after="0"/>
      </w:pPr>
    </w:p>
    <w:p>
      <w:r>
        <w:t xml:space="preserve">Iznos je manji u odnosu na prošlu godinu, jer nije bilo dodatnih ulaganja u građevinu u periodu do 30.06.2026.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64.735,59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8.063,45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12,5</w:t>
            </w:r>
          </w:p>
        </w:tc>
      </w:tr>
    </w:tbl>
    <w:p>
      <w:pPr>
        <w:spacing w:before="0" w:after="0"/>
      </w:pPr>
    </w:p>
    <w:p>
      <w:r>
        <w:t xml:space="preserve">iznos je manji u 2026 godini jer nije bilo kapitalnih ulaganja u 2026 godini.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prekovremeni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67.886,93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49.972,95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73,6</w:t>
            </w:r>
          </w:p>
        </w:tc>
      </w:tr>
    </w:tbl>
    <w:p>
      <w:pPr>
        <w:spacing w:before="0" w:after="0"/>
      </w:pPr>
    </w:p>
    <w:p>
      <w:r>
        <w:t xml:space="preserve">Iznos je smanjen u odnosu na isto razdoblje lani jer su djelatnici manje imali prekovremenog rada i manje je bilo odsutnih radnika.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rad predstavničkih i izvršnih tijela, povjerenstava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882,74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1.585,64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179,6</w:t>
            </w:r>
          </w:p>
        </w:tc>
      </w:tr>
    </w:tbl>
    <w:p>
      <w:pPr>
        <w:spacing w:before="0" w:after="0"/>
      </w:pPr>
    </w:p>
    <w:p>
      <w:r>
        <w:t xml:space="preserve">Iznos je povećan u odnosu na isto razdoblje lani iz razloga toga što je bilo više sjednica školskog odobra, radi provedbe natječaja za ravnatelja.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 (šifre 3811 do 3813)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1.281,11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Iznos se odnosi na menstrulalne potrepštine.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poslovanja - preneseni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42.659,72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243.611,96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571,1</w:t>
            </w:r>
          </w:p>
        </w:tc>
      </w:tr>
    </w:tbl>
    <w:p>
      <w:pPr>
        <w:spacing w:before="0" w:after="0"/>
      </w:pPr>
    </w:p>
    <w:p>
      <w:r>
        <w:t xml:space="preserve">Iznos je povećan, radi manjka za plaće 12-2025.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Dodatna ulaganja na građevinskim objektima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50.017,49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Do 30.06.2026 nije bilo dodatnih ulaganja u građevinu.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na kraju izvještajnog razdoblja (šifre V001+V002-V004) i (šifre V007+V009)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311.595,15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odnosi se na stanje obaveza na kraju razdoblja.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Nema dospjelih obveza na kraju izvještajnog razdoblja.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Međusobne obveze subjekata općeg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3.747,59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Iznos se odnosi za bolovanja od refunacije HZZO  i povrat poreza 2025 u proračun.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Iznosi se odnose na financiranje plaća pomoćnika u nastavi po projektu PUN-a torba zajedništva.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a231240630a4a31" /></Relationships>
</file>