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6c3a5b6224548e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10803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POREČ</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1.549.606,87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1.838.133,34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1.486.034,86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1.922.610,76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84.477,42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58.083,75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64.735,59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57.896,86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64.735,59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149.213,01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Sastoje se od pomoći iz državnog proračuna za plaće MZOM-a, te za prehranu  učenika u iznosu od  1.207.737,28 eura,  sufinanciranje cijene usluga u iznosu od 68.441,20 eura,  od donacija 1.370,00 eura, prihodi nadležnog proračuna 560.584,86 eura.
Rashodi se sastoje od rashoda za zaposlene 1.589.125,43 eura, materijalne rashode 333.475,37 eura,  financijskih  rashoda  9,96 eura. 
Rashodi za nabavu nefinancijske imovine u iznosu od 64.735,59 eura sastoje se na sredstva utrošena na kupnju uredskog namještaja, knjige za knjižnicu, klima uređaje, za sanaciju sanitarnih čvorova.  
Manjak odnosi se i na plaće 06-25 godine koje dospijevaju u 7 mjesecu. </w:t>
      </w:r>
    </w:p>
    <w:p>
      <w:r>
        <w:br/>
      </w:r>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 dan 30.06.2025. Osnovna škola Poreč nema dospjelih obaveza, jer se po Okružnici o sastavljanju i predaji financijskog izvještaja KLASA: 400-02/25-01/14 URBROJ: 513-05-03-25-2, bolovanje na teret HZZO-a ne evidentiraju kao dospjele obaveze, jer je za njih nadležni proračun osigurao sredstva.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515db1d1cde4b7a" /></Relationships>
</file>